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14E5AB0A"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510756">
        <w:rPr>
          <w:rFonts w:cs="Arial"/>
          <w:szCs w:val="22"/>
        </w:rPr>
        <w:t>8bis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bookmarkStart w:id="0" w:name="_GoBack"/>
      <w:bookmarkEnd w:id="0"/>
      <w:r w:rsidR="00C31654" w:rsidRPr="00C31654">
        <w:t>2316369</w:t>
      </w:r>
    </w:p>
    <w:p w14:paraId="4DC4C74F" w14:textId="32534F8D" w:rsidR="00767D46" w:rsidRPr="00510756" w:rsidRDefault="00510756" w:rsidP="00497C8F">
      <w:pPr>
        <w:rPr>
          <w:rFonts w:ascii="Arial" w:eastAsia="Arial" w:hAnsi="Arial"/>
          <w:b/>
          <w:bCs/>
          <w:noProof/>
          <w:sz w:val="22"/>
          <w:lang w:eastAsia="en-US"/>
        </w:rPr>
      </w:pPr>
      <w:r w:rsidRPr="00510756">
        <w:rPr>
          <w:rFonts w:ascii="Arial" w:eastAsia="Arial" w:hAnsi="Arial"/>
          <w:b/>
          <w:bCs/>
          <w:noProof/>
          <w:sz w:val="22"/>
          <w:lang w:eastAsia="en-US"/>
        </w:rPr>
        <w:t>Xiamen, China, October 09 – 13, 202</w:t>
      </w:r>
      <w:r w:rsidR="006F76F6">
        <w:rPr>
          <w:rFonts w:ascii="Arial" w:eastAsia="Arial" w:hAnsi="Arial"/>
          <w:b/>
          <w:bCs/>
          <w:noProof/>
          <w:sz w:val="22"/>
          <w:lang w:eastAsia="en-US"/>
        </w:rPr>
        <w:t>3</w:t>
      </w:r>
    </w:p>
    <w:p w14:paraId="111F0EDF" w14:textId="77777777" w:rsidR="00767D46" w:rsidRDefault="00767D46" w:rsidP="00767D46"/>
    <w:p w14:paraId="6F8A4D70" w14:textId="2BC67E6D"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6556C1C4"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2A4A93">
        <w:rPr>
          <w:rFonts w:ascii="Arial" w:hAnsi="Arial" w:cs="Arial"/>
          <w:bCs/>
          <w:sz w:val="22"/>
          <w:szCs w:val="22"/>
        </w:rPr>
        <w:t>5008</w:t>
      </w:r>
      <w:r w:rsidR="004D6C22">
        <w:rPr>
          <w:rFonts w:ascii="Arial" w:hAnsi="Arial" w:cs="Arial"/>
          <w:bCs/>
          <w:sz w:val="22"/>
          <w:szCs w:val="22"/>
        </w:rPr>
        <w:t xml:space="preserve"> (R1-2308561)</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4A4AEB79"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D6C22">
        <w:rPr>
          <w:rFonts w:ascii="Arial" w:hAnsi="Arial" w:cs="Arial"/>
          <w:sz w:val="22"/>
          <w:szCs w:val="22"/>
        </w:rPr>
        <w:t xml:space="preserve">TSG RAN WG1, </w:t>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992FB38" w14:textId="4AB678C3"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thanks RAN1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limit for CA and DC in R1-2308561.</w:t>
      </w:r>
    </w:p>
    <w:p w14:paraId="7B68C37F" w14:textId="72FC3705"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RAN1, RAN4 would like to share the following answers based on RAN4 latest discussion outcome</w:t>
      </w:r>
      <w:r w:rsidR="00A4204C">
        <w:rPr>
          <w:rFonts w:ascii="Arial" w:hAnsi="Arial" w:cs="Arial"/>
          <w:lang w:val="en-US"/>
        </w:rPr>
        <w:t>s</w:t>
      </w:r>
      <w:r>
        <w:rPr>
          <w:rFonts w:ascii="Arial" w:hAnsi="Arial" w:cs="Arial"/>
          <w:lang w:val="en-US"/>
        </w:rPr>
        <w:t xml:space="preserve"> in R4-2314703.</w:t>
      </w:r>
    </w:p>
    <w:p w14:paraId="63DDD595" w14:textId="3C670090"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Pr="0025409F">
        <w:rPr>
          <w:rFonts w:ascii="Arial" w:eastAsia="Yu Mincho" w:hAnsi="Arial" w:cs="Arial"/>
          <w:iCs/>
          <w:sz w:val="20"/>
          <w:szCs w:val="20"/>
          <w:lang w:val="en-US" w:eastAsia="ja-JP"/>
        </w:rPr>
        <w:t>It is RAN1 understanding that </w:t>
      </w:r>
      <w:r w:rsidRPr="0025409F">
        <w:rPr>
          <w:rFonts w:ascii="Arial" w:eastAsia="Yu Mincho" w:hAnsi="Arial" w:cs="Arial"/>
          <w:iCs/>
          <w:sz w:val="20"/>
          <w:szCs w:val="20"/>
          <w:lang w:val="fr-FR" w:eastAsia="ja-JP"/>
        </w:rPr>
        <w:t>Δ</w:t>
      </w:r>
      <w:proofErr w:type="spellStart"/>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proofErr w:type="spellEnd"/>
      <w:r w:rsidRPr="0025409F">
        <w:rPr>
          <w:rFonts w:ascii="Arial" w:eastAsia="Yu Mincho" w:hAnsi="Arial" w:cs="Arial"/>
          <w:iCs/>
          <w:sz w:val="20"/>
          <w:szCs w:val="20"/>
          <w:lang w:val="en-US"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25409F">
        <w:rPr>
          <w:rFonts w:ascii="Arial" w:eastAsia="Yu Mincho" w:hAnsi="Arial" w:cs="Arial"/>
          <w:iCs/>
          <w:sz w:val="20"/>
          <w:szCs w:val="20"/>
          <w:lang w:val="fr-FR" w:eastAsia="ja-JP"/>
        </w:rPr>
        <w:t>Δ</w:t>
      </w:r>
      <w:proofErr w:type="spellStart"/>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proofErr w:type="spellEnd"/>
      <w:r w:rsidRPr="0025409F">
        <w:rPr>
          <w:rFonts w:ascii="Arial" w:eastAsia="Yu Mincho" w:hAnsi="Arial" w:cs="Arial"/>
          <w:iCs/>
          <w:sz w:val="20"/>
          <w:szCs w:val="20"/>
          <w:vertAlign w:val="subscript"/>
          <w:lang w:val="en-US" w:eastAsia="ja-JP"/>
        </w:rPr>
        <w:t xml:space="preserve"> </w:t>
      </w:r>
      <w:r w:rsidRPr="0025409F">
        <w:rPr>
          <w:rFonts w:ascii="Arial" w:eastAsia="Yu Mincho" w:hAnsi="Arial" w:cs="Arial"/>
          <w:iCs/>
          <w:sz w:val="20"/>
          <w:szCs w:val="20"/>
          <w:lang w:val="en-US" w:eastAsia="ja-JP"/>
        </w:rPr>
        <w:t>reporting in PHR MAC CE?</w:t>
      </w:r>
    </w:p>
    <w:p w14:paraId="3ECE07EA" w14:textId="1A7CA595"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DF6152" w:rsidRPr="0025409F">
        <w:rPr>
          <w:rFonts w:ascii="Arial" w:eastAsia="Yu Mincho" w:hAnsi="Arial" w:cs="Arial"/>
          <w:iCs/>
          <w:sz w:val="20"/>
          <w:szCs w:val="20"/>
          <w:lang w:eastAsia="ja-JP"/>
        </w:rPr>
        <w:t>RAN4 confirms</w:t>
      </w:r>
      <w:r w:rsidR="00014351" w:rsidRPr="0025409F">
        <w:rPr>
          <w:rFonts w:ascii="Arial" w:eastAsia="Yu Mincho" w:hAnsi="Arial" w:cs="Arial"/>
          <w:iCs/>
          <w:sz w:val="20"/>
          <w:szCs w:val="20"/>
          <w:lang w:val="en-US" w:eastAsia="ja-JP"/>
        </w:rPr>
        <w:t xml:space="preserve"> </w:t>
      </w:r>
      <w:r w:rsidR="00A404E2" w:rsidRPr="0025409F">
        <w:rPr>
          <w:rFonts w:ascii="Arial" w:eastAsia="Yu Mincho" w:hAnsi="Arial" w:cs="Arial"/>
          <w:iCs/>
          <w:sz w:val="20"/>
          <w:szCs w:val="20"/>
          <w:lang w:val="en-US" w:eastAsia="ja-JP"/>
        </w:rPr>
        <w:t xml:space="preserve">that all cases when the percentage of uplink symbols transmitted in a certain evaluation period is larger than a certain duty cycle as specified in Clause 6.2.4 of TS 38 101-1 can trigger </w:t>
      </w:r>
      <w:r w:rsidR="00A404E2" w:rsidRPr="0025409F">
        <w:rPr>
          <w:rFonts w:ascii="Arial" w:eastAsia="Yu Mincho" w:hAnsi="Arial" w:cs="Arial"/>
          <w:iCs/>
          <w:sz w:val="20"/>
          <w:szCs w:val="20"/>
          <w:lang w:val="fr-FR" w:eastAsia="ja-JP"/>
        </w:rPr>
        <w:t>Δ</w:t>
      </w:r>
      <w:proofErr w:type="spellStart"/>
      <w:r w:rsidR="00A404E2" w:rsidRPr="0025409F">
        <w:rPr>
          <w:rFonts w:ascii="Arial" w:eastAsia="Yu Mincho" w:hAnsi="Arial" w:cs="Arial"/>
          <w:iCs/>
          <w:sz w:val="20"/>
          <w:szCs w:val="20"/>
          <w:lang w:val="en-US" w:eastAsia="ja-JP"/>
        </w:rPr>
        <w:t>P</w:t>
      </w:r>
      <w:r w:rsidR="00A404E2" w:rsidRPr="0025409F">
        <w:rPr>
          <w:rFonts w:ascii="Arial" w:eastAsia="Yu Mincho" w:hAnsi="Arial" w:cs="Arial"/>
          <w:iCs/>
          <w:sz w:val="20"/>
          <w:szCs w:val="20"/>
          <w:vertAlign w:val="subscript"/>
          <w:lang w:val="en-US" w:eastAsia="ja-JP"/>
        </w:rPr>
        <w:t>PowerClass</w:t>
      </w:r>
      <w:proofErr w:type="spellEnd"/>
      <w:r w:rsidR="00A404E2" w:rsidRPr="0025409F">
        <w:rPr>
          <w:rFonts w:ascii="Arial" w:eastAsia="Yu Mincho" w:hAnsi="Arial" w:cs="Arial"/>
          <w:iCs/>
          <w:sz w:val="20"/>
          <w:szCs w:val="20"/>
          <w:lang w:val="en-US" w:eastAsia="ja-JP"/>
        </w:rPr>
        <w:t xml:space="preserve"> reporting. </w:t>
      </w:r>
      <w:r w:rsidR="00014351" w:rsidRPr="0025409F">
        <w:rPr>
          <w:rFonts w:ascii="Arial" w:eastAsia="Yu Mincho" w:hAnsi="Arial" w:cs="Arial"/>
          <w:iCs/>
          <w:sz w:val="20"/>
          <w:szCs w:val="20"/>
          <w:lang w:val="en-US" w:eastAsia="ja-JP"/>
        </w:rPr>
        <w:t xml:space="preserve"> </w:t>
      </w:r>
    </w:p>
    <w:p w14:paraId="721292D4"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val="en-US" w:eastAsia="ja-JP"/>
        </w:rPr>
      </w:pPr>
    </w:p>
    <w:p w14:paraId="50579F27" w14:textId="77777777"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eastAsia="ja-JP"/>
        </w:rPr>
      </w:pPr>
      <w:r w:rsidRPr="0025409F">
        <w:rPr>
          <w:rFonts w:ascii="Arial" w:eastAsia="Yu Mincho" w:hAnsi="Arial" w:cs="Arial"/>
          <w:b/>
          <w:bCs/>
          <w:iCs/>
          <w:sz w:val="20"/>
          <w:szCs w:val="20"/>
          <w:lang w:eastAsia="ja-JP"/>
        </w:rPr>
        <w:t>Q2</w:t>
      </w:r>
      <w:r w:rsidRPr="0025409F">
        <w:rPr>
          <w:rFonts w:ascii="Arial" w:eastAsia="Yu Mincho" w:hAnsi="Arial" w:cs="Arial"/>
          <w:iCs/>
          <w:sz w:val="20"/>
          <w:szCs w:val="20"/>
          <w:lang w:eastAsia="ja-JP"/>
        </w:rPr>
        <w:t>: In case of duty cycle exceedance, and resulting 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reporting as per recommendation in R4-2310500, is a further 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reporting also allowed when UE returns to advertised PC power capabilities? </w:t>
      </w:r>
    </w:p>
    <w:p w14:paraId="48A12EF8" w14:textId="79E810FE"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553015" w:rsidRPr="0025409F">
        <w:rPr>
          <w:rFonts w:ascii="Arial" w:eastAsia="Yu Mincho" w:hAnsi="Arial" w:cs="Arial"/>
          <w:iCs/>
          <w:sz w:val="20"/>
          <w:szCs w:val="20"/>
          <w:lang w:val="en-US" w:eastAsia="ja-JP"/>
        </w:rPr>
        <w:t xml:space="preserve">As clarified in R4-2314703, </w:t>
      </w:r>
      <w:r w:rsidR="00553015" w:rsidRPr="0025409F">
        <w:rPr>
          <w:rFonts w:ascii="Arial" w:eastAsia="Yu Mincho" w:hAnsi="Arial" w:cs="Arial"/>
          <w:iCs/>
          <w:sz w:val="20"/>
          <w:szCs w:val="20"/>
          <w:lang w:eastAsia="ja-JP"/>
        </w:rPr>
        <w:t>ΔP</w:t>
      </w:r>
      <w:r w:rsidR="00553015" w:rsidRPr="0025409F">
        <w:rPr>
          <w:rFonts w:ascii="Arial" w:eastAsia="Yu Mincho" w:hAnsi="Arial" w:cs="Arial"/>
          <w:iCs/>
          <w:sz w:val="20"/>
          <w:szCs w:val="20"/>
          <w:vertAlign w:val="subscript"/>
          <w:lang w:eastAsia="ja-JP"/>
        </w:rPr>
        <w:t>PowerClass</w:t>
      </w:r>
      <w:r w:rsidR="00553015" w:rsidRPr="0025409F">
        <w:rPr>
          <w:rFonts w:ascii="Arial" w:eastAsia="Yu Mincho" w:hAnsi="Arial" w:cs="Arial"/>
          <w:iCs/>
          <w:sz w:val="20"/>
          <w:szCs w:val="20"/>
          <w:lang w:eastAsia="ja-JP"/>
        </w:rPr>
        <w:t xml:space="preserve"> reporting is also allowed when UE returns to advertised </w:t>
      </w:r>
      <w:r w:rsidR="00593B7F" w:rsidRPr="0025409F">
        <w:rPr>
          <w:rFonts w:ascii="Arial" w:eastAsia="Yu Mincho" w:hAnsi="Arial" w:cs="Arial"/>
          <w:iCs/>
          <w:sz w:val="20"/>
          <w:szCs w:val="20"/>
          <w:lang w:eastAsia="ja-JP"/>
        </w:rPr>
        <w:t>power class</w:t>
      </w:r>
      <w:r w:rsidR="00553015" w:rsidRPr="0025409F">
        <w:rPr>
          <w:rFonts w:ascii="Arial" w:eastAsia="Yu Mincho" w:hAnsi="Arial" w:cs="Arial"/>
          <w:iCs/>
          <w:sz w:val="20"/>
          <w:szCs w:val="20"/>
          <w:lang w:eastAsia="ja-JP"/>
        </w:rPr>
        <w:t xml:space="preserve"> reference after </w:t>
      </w:r>
      <w:r w:rsidR="00553015" w:rsidRPr="0025409F">
        <w:rPr>
          <w:rFonts w:ascii="Arial" w:hAnsi="Arial" w:cs="Arial"/>
          <w:sz w:val="20"/>
          <w:szCs w:val="20"/>
          <w:lang w:eastAsia="ja-JP"/>
        </w:rPr>
        <w:t>duty cycle exceedance.</w:t>
      </w:r>
    </w:p>
    <w:p w14:paraId="65160F7E"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ED56891" w14:textId="6DE0ED19"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confirm the correctness of RAN1’s understanding as per observation b) concerning the recommendation </w:t>
      </w:r>
      <w:r w:rsidRPr="0025409F">
        <w:rPr>
          <w:rFonts w:ascii="Arial" w:eastAsia="Yu Mincho" w:hAnsi="Arial" w:cs="Arial"/>
          <w:bCs/>
          <w:iCs/>
          <w:color w:val="000000" w:themeColor="text1"/>
          <w:sz w:val="20"/>
          <w:szCs w:val="20"/>
          <w:lang w:val="en-US" w:eastAsia="ja-JP"/>
        </w:rPr>
        <w:t xml:space="preserve">of </w:t>
      </w:r>
      <w:r w:rsidRPr="0025409F">
        <w:rPr>
          <w:rFonts w:ascii="Arial" w:eastAsia="Yu Mincho" w:hAnsi="Arial" w:cs="Arial"/>
          <w:bCs/>
          <w:iCs/>
          <w:color w:val="000000" w:themeColor="text1"/>
          <w:sz w:val="20"/>
          <w:szCs w:val="20"/>
          <w:lang w:eastAsia="ja-JP"/>
        </w:rPr>
        <w:t xml:space="preserve">enabling UE report on the </w:t>
      </w:r>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w:t>
      </w:r>
      <w:r w:rsidRPr="0025409F">
        <w:rPr>
          <w:rFonts w:ascii="Arial" w:eastAsia="Yu Mincho" w:hAnsi="Arial" w:cs="Arial"/>
          <w:bCs/>
          <w:iCs/>
          <w:color w:val="000000" w:themeColor="text1"/>
          <w:sz w:val="20"/>
          <w:szCs w:val="20"/>
          <w:lang w:eastAsia="ja-JP"/>
        </w:rPr>
        <w:t>to indicate which power class requirements that the UE is referring to only when duty cycle is exceeded?</w:t>
      </w:r>
    </w:p>
    <w:p w14:paraId="558FE975" w14:textId="4869EDFA"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9C23B9" w:rsidRPr="0025409F">
        <w:rPr>
          <w:rFonts w:ascii="Arial" w:eastAsia="Yu Mincho" w:hAnsi="Arial" w:cs="Arial"/>
          <w:iCs/>
          <w:sz w:val="20"/>
          <w:szCs w:val="20"/>
          <w:lang w:val="en-US" w:eastAsia="ja-JP"/>
        </w:rPr>
        <w:t>RAN4 confirms that observation b) from RAN1 is correct, which means “</w:t>
      </w:r>
      <w:r w:rsidR="009C23B9" w:rsidRPr="0025409F">
        <w:rPr>
          <w:rFonts w:ascii="Arial" w:eastAsia="Yu Mincho" w:hAnsi="Arial" w:cs="Arial"/>
          <w:i/>
          <w:iCs/>
          <w:sz w:val="20"/>
          <w:szCs w:val="20"/>
          <w:lang w:val="en-US" w:eastAsia="ja-JP"/>
        </w:rPr>
        <w:t>occasion of the report</w:t>
      </w:r>
      <w:r w:rsidR="009C23B9" w:rsidRPr="0025409F">
        <w:rPr>
          <w:rFonts w:ascii="Arial" w:eastAsia="Yu Mincho" w:hAnsi="Arial" w:cs="Arial"/>
          <w:iCs/>
          <w:sz w:val="20"/>
          <w:szCs w:val="20"/>
          <w:lang w:val="en-US" w:eastAsia="ja-JP"/>
        </w:rPr>
        <w:t xml:space="preserve">” </w:t>
      </w:r>
      <w:r w:rsidR="009C23B9" w:rsidRPr="0025409F">
        <w:rPr>
          <w:rFonts w:ascii="Arial" w:eastAsia="MS Mincho" w:hAnsi="Arial" w:cs="Arial"/>
          <w:bCs/>
          <w:color w:val="000000" w:themeColor="text1"/>
          <w:sz w:val="20"/>
          <w:szCs w:val="20"/>
        </w:rPr>
        <w:t>refers to the event that triggers the aperiodic PHR report, and not to the actual UL resource to send the MAC-CE carrying the report</w:t>
      </w:r>
      <w:r w:rsidR="00232EB0" w:rsidRPr="0025409F">
        <w:rPr>
          <w:rFonts w:ascii="Arial" w:eastAsia="MS Mincho" w:hAnsi="Arial" w:cs="Arial"/>
          <w:bCs/>
          <w:color w:val="000000" w:themeColor="text1"/>
          <w:sz w:val="20"/>
          <w:szCs w:val="20"/>
        </w:rPr>
        <w:t>.</w:t>
      </w:r>
    </w:p>
    <w:p w14:paraId="6A93B00A" w14:textId="77777777" w:rsidR="00DA0048" w:rsidRPr="0025409F" w:rsidRDefault="00DA0048" w:rsidP="00DA0048">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color w:val="000000" w:themeColor="text1"/>
          <w:sz w:val="20"/>
          <w:szCs w:val="20"/>
          <w:lang w:eastAsia="ja-JP"/>
        </w:rPr>
      </w:pPr>
    </w:p>
    <w:p w14:paraId="3CB820DF" w14:textId="0B44632E" w:rsidR="00DA0048" w:rsidRPr="0025409F" w:rsidRDefault="00DA0048" w:rsidP="00DA0048">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lastRenderedPageBreak/>
        <w:t>Q4</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clarify the meaning of the recommendation related to the combination of the </w:t>
      </w:r>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w:t>
      </w:r>
      <w:r w:rsidRPr="0025409F">
        <w:rPr>
          <w:rFonts w:ascii="Arial" w:eastAsia="Yu Mincho" w:hAnsi="Arial" w:cs="Arial"/>
          <w:iCs/>
          <w:color w:val="000000" w:themeColor="text1"/>
          <w:sz w:val="20"/>
          <w:szCs w:val="20"/>
          <w:lang w:eastAsia="ja-JP"/>
        </w:rPr>
        <w:t>report with full-power MIMO transmission capability reporting corresponding to the current power class?</w:t>
      </w:r>
    </w:p>
    <w:p w14:paraId="21C13A44" w14:textId="77777777" w:rsidR="00D82841" w:rsidRPr="00D82841" w:rsidRDefault="00DA0048" w:rsidP="00D82841">
      <w:pPr>
        <w:pStyle w:val="aff6"/>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D82841" w:rsidRPr="0025409F">
        <w:rPr>
          <w:rFonts w:ascii="Arial" w:hAnsi="Arial" w:cs="Arial"/>
          <w:sz w:val="20"/>
          <w:szCs w:val="20"/>
          <w:lang w:eastAsia="ja-JP"/>
        </w:rPr>
        <w:t>The full-power MIMO transmission capability is essentially related to e.g. PA configuration and antenna ports arrangement. Further, it can be different when MOP reduction happens due to the change on ΔP</w:t>
      </w:r>
      <w:r w:rsidR="00D82841" w:rsidRPr="0025409F">
        <w:rPr>
          <w:rFonts w:ascii="Arial" w:hAnsi="Arial" w:cs="Arial"/>
          <w:sz w:val="20"/>
          <w:szCs w:val="20"/>
          <w:vertAlign w:val="subscript"/>
          <w:lang w:eastAsia="ja-JP"/>
        </w:rPr>
        <w:t>PowerClass</w:t>
      </w:r>
      <w:r w:rsidR="00D82841" w:rsidRPr="0025409F">
        <w:rPr>
          <w:rFonts w:ascii="Arial" w:hAnsi="Arial" w:cs="Arial"/>
          <w:sz w:val="20"/>
          <w:szCs w:val="20"/>
          <w:lang w:eastAsia="ja-JP"/>
        </w:rPr>
        <w:t>. Although the network can be aware of MOP reduction by ΔP</w:t>
      </w:r>
      <w:r w:rsidR="00D82841" w:rsidRPr="0025409F">
        <w:rPr>
          <w:rFonts w:ascii="Arial" w:hAnsi="Arial" w:cs="Arial"/>
          <w:sz w:val="20"/>
          <w:szCs w:val="20"/>
          <w:vertAlign w:val="subscript"/>
          <w:lang w:eastAsia="ja-JP"/>
        </w:rPr>
        <w:t>PowerClass</w:t>
      </w:r>
      <w:r w:rsidR="00D82841" w:rsidRPr="0025409F">
        <w:rPr>
          <w:rFonts w:ascii="Arial" w:hAnsi="Arial" w:cs="Arial"/>
          <w:sz w:val="20"/>
          <w:szCs w:val="20"/>
          <w:lang w:eastAsia="ja-JP"/>
        </w:rPr>
        <w:t xml:space="preserve"> reporting, existing full-power MIMO transmission capability indication seems not to explicitly satisfy the purpose on allowing the network to acquire that capability in case it would be different from the one indicated for the advertised PC (but no MOP reduction happens). That is the meaning of “</w:t>
      </w:r>
      <w:r w:rsidR="00D82841" w:rsidRPr="0025409F">
        <w:rPr>
          <w:rFonts w:ascii="Arial" w:hAnsi="Arial" w:cs="Arial"/>
          <w:i/>
          <w:iCs/>
          <w:color w:val="000000"/>
          <w:sz w:val="20"/>
          <w:szCs w:val="20"/>
          <w:lang w:eastAsia="ja-JP"/>
        </w:rPr>
        <w:t>combination</w:t>
      </w:r>
      <w:r w:rsidR="00D82841" w:rsidRPr="0025409F">
        <w:rPr>
          <w:rFonts w:ascii="Arial" w:hAnsi="Arial" w:cs="Arial"/>
          <w:sz w:val="20"/>
          <w:szCs w:val="20"/>
          <w:lang w:eastAsia="ja-JP"/>
        </w:rPr>
        <w:t>” from RAN4 perspective and any further solution to solve this issue would be up to RAN2 decision.</w:t>
      </w:r>
    </w:p>
    <w:p w14:paraId="3796E0E1" w14:textId="0CE512A8" w:rsidR="00267E1A" w:rsidRPr="00D82841" w:rsidRDefault="00CE0701" w:rsidP="00D82841">
      <w:pPr>
        <w:pStyle w:val="aff6"/>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lang w:val="en-US" w:eastAsia="ja-JP"/>
        </w:rPr>
      </w:pPr>
      <w:r w:rsidRPr="00D82841">
        <w:rPr>
          <w:rFonts w:ascii="Arial" w:eastAsia="Yu Mincho" w:hAnsi="Arial" w:cs="Arial"/>
          <w:iCs/>
          <w:lang w:eastAsia="ja-JP"/>
        </w:rPr>
        <w:t xml:space="preserve">   </w:t>
      </w:r>
      <w:r w:rsidR="00586A19" w:rsidRPr="00D82841">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096FFA39" w14:textId="2AB28399" w:rsidR="00767D46" w:rsidRDefault="00767D46" w:rsidP="00767D46">
      <w:pPr>
        <w:spacing w:after="120"/>
        <w:ind w:left="1985" w:hanging="1985"/>
        <w:rPr>
          <w:rFonts w:ascii="Arial" w:hAnsi="Arial" w:cs="Arial"/>
          <w:b/>
        </w:rPr>
      </w:pPr>
      <w:r>
        <w:rPr>
          <w:rFonts w:ascii="Arial" w:hAnsi="Arial" w:cs="Arial"/>
          <w:b/>
        </w:rPr>
        <w:t xml:space="preserve">To </w:t>
      </w:r>
      <w:r w:rsidR="00DA0048">
        <w:rPr>
          <w:rFonts w:ascii="Arial" w:hAnsi="Arial" w:cs="Arial"/>
          <w:b/>
        </w:rPr>
        <w:t xml:space="preserve">RAN1 </w:t>
      </w:r>
    </w:p>
    <w:p w14:paraId="3393ABB6" w14:textId="6C76040D" w:rsidR="00767D46" w:rsidRDefault="00767D46" w:rsidP="00DA0048">
      <w:pPr>
        <w:spacing w:after="120"/>
        <w:ind w:left="993" w:hanging="993"/>
        <w:jc w:val="both"/>
        <w:rPr>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w:t>
      </w:r>
      <w:r w:rsidR="00DA0048">
        <w:rPr>
          <w:rFonts w:ascii="Arial" w:hAnsi="Arial" w:cs="Arial"/>
          <w:lang w:val="en-US"/>
        </w:rPr>
        <w:t xml:space="preserve">RAN1 </w:t>
      </w:r>
      <w:r w:rsidRPr="003C12C9">
        <w:rPr>
          <w:rFonts w:ascii="Arial" w:hAnsi="Arial" w:cs="Arial"/>
          <w:lang w:val="en-US"/>
        </w:rPr>
        <w:t xml:space="preserve">to </w:t>
      </w:r>
      <w:r w:rsidR="00790DA4">
        <w:rPr>
          <w:rFonts w:ascii="Arial" w:hAnsi="Arial" w:cs="Arial"/>
          <w:lang w:val="en-US"/>
        </w:rPr>
        <w:t xml:space="preserve">consider </w:t>
      </w:r>
      <w:r w:rsidR="00C335E9">
        <w:rPr>
          <w:rFonts w:ascii="Arial" w:hAnsi="Arial" w:cs="Arial"/>
          <w:lang w:val="en-US"/>
        </w:rPr>
        <w:t>above information</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6ACFD87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EDCD30F" w14:textId="77777777" w:rsidR="00DF32A9" w:rsidRDefault="00DF32A9" w:rsidP="00DF32A9">
      <w:pPr>
        <w:rPr>
          <w:rFonts w:ascii="Arial" w:hAnsi="Arial" w:cs="Arial"/>
          <w:lang w:val="en-US"/>
        </w:rPr>
      </w:pPr>
      <w:r w:rsidRPr="003C12C9">
        <w:rPr>
          <w:rFonts w:ascii="Arial" w:hAnsi="Arial" w:cs="Arial"/>
          <w:lang w:val="en-US"/>
        </w:rPr>
        <w:t>TSG RAN WG4 Meeting #10</w:t>
      </w:r>
      <w:r>
        <w:rPr>
          <w:rFonts w:ascii="Arial" w:hAnsi="Arial" w:cs="Arial"/>
          <w:lang w:val="en-US"/>
        </w:rPr>
        <w:t>9</w:t>
      </w:r>
      <w:r>
        <w:rPr>
          <w:rFonts w:ascii="Arial" w:hAnsi="Arial" w:cs="Arial"/>
          <w:lang w:val="en-US"/>
        </w:rPr>
        <w:tab/>
        <w:t xml:space="preserve">     November 13</w:t>
      </w:r>
      <w:r w:rsidRPr="003C12C9">
        <w:rPr>
          <w:rFonts w:ascii="Arial" w:hAnsi="Arial" w:cs="Arial"/>
          <w:lang w:val="en-US"/>
        </w:rPr>
        <w:t xml:space="preserve"> – </w:t>
      </w:r>
      <w:r>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Chicago, United States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E1B30" w14:textId="77777777" w:rsidR="007D38C6" w:rsidRDefault="007D38C6" w:rsidP="0052762B">
      <w:r>
        <w:separator/>
      </w:r>
    </w:p>
  </w:endnote>
  <w:endnote w:type="continuationSeparator" w:id="0">
    <w:p w14:paraId="3AD47ADD" w14:textId="77777777" w:rsidR="007D38C6" w:rsidRDefault="007D38C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C6AFA" w14:textId="77777777" w:rsidR="007D38C6" w:rsidRDefault="007D38C6" w:rsidP="0052762B">
      <w:r>
        <w:separator/>
      </w:r>
    </w:p>
  </w:footnote>
  <w:footnote w:type="continuationSeparator" w:id="0">
    <w:p w14:paraId="41F7C71F" w14:textId="77777777" w:rsidR="007D38C6" w:rsidRDefault="007D38C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0"/>
  </w:num>
  <w:num w:numId="3">
    <w:abstractNumId w:val="24"/>
  </w:num>
  <w:num w:numId="4">
    <w:abstractNumId w:val="38"/>
  </w:num>
  <w:num w:numId="5">
    <w:abstractNumId w:val="35"/>
  </w:num>
  <w:num w:numId="6">
    <w:abstractNumId w:val="18"/>
  </w:num>
  <w:num w:numId="7">
    <w:abstractNumId w:val="30"/>
  </w:num>
  <w:num w:numId="8">
    <w:abstractNumId w:val="47"/>
  </w:num>
  <w:num w:numId="9">
    <w:abstractNumId w:val="16"/>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1"/>
  </w:num>
  <w:num w:numId="14">
    <w:abstractNumId w:val="31"/>
  </w:num>
  <w:num w:numId="15">
    <w:abstractNumId w:val="2"/>
  </w:num>
  <w:num w:numId="16">
    <w:abstractNumId w:val="19"/>
  </w:num>
  <w:num w:numId="17">
    <w:abstractNumId w:val="36"/>
  </w:num>
  <w:num w:numId="18">
    <w:abstractNumId w:val="13"/>
  </w:num>
  <w:num w:numId="19">
    <w:abstractNumId w:val="12"/>
  </w:num>
  <w:num w:numId="20">
    <w:abstractNumId w:val="4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5"/>
  </w:num>
  <w:num w:numId="23">
    <w:abstractNumId w:val="6"/>
  </w:num>
  <w:num w:numId="24">
    <w:abstractNumId w:val="8"/>
  </w:num>
  <w:num w:numId="25">
    <w:abstractNumId w:val="46"/>
  </w:num>
  <w:num w:numId="26">
    <w:abstractNumId w:val="34"/>
  </w:num>
  <w:num w:numId="27">
    <w:abstractNumId w:val="22"/>
  </w:num>
  <w:num w:numId="28">
    <w:abstractNumId w:val="1"/>
  </w:num>
  <w:num w:numId="29">
    <w:abstractNumId w:val="33"/>
  </w:num>
  <w:num w:numId="30">
    <w:abstractNumId w:val="40"/>
  </w:num>
  <w:num w:numId="31">
    <w:abstractNumId w:val="27"/>
  </w:num>
  <w:num w:numId="32">
    <w:abstractNumId w:val="44"/>
  </w:num>
  <w:num w:numId="33">
    <w:abstractNumId w:val="4"/>
  </w:num>
  <w:num w:numId="34">
    <w:abstractNumId w:val="23"/>
  </w:num>
  <w:num w:numId="35">
    <w:abstractNumId w:val="5"/>
  </w:num>
  <w:num w:numId="36">
    <w:abstractNumId w:val="25"/>
  </w:num>
  <w:num w:numId="37">
    <w:abstractNumId w:val="39"/>
  </w:num>
  <w:num w:numId="38">
    <w:abstractNumId w:val="32"/>
  </w:num>
  <w:num w:numId="39">
    <w:abstractNumId w:val="45"/>
  </w:num>
  <w:num w:numId="40">
    <w:abstractNumId w:val="37"/>
  </w:num>
  <w:num w:numId="41">
    <w:abstractNumId w:val="26"/>
  </w:num>
  <w:num w:numId="42">
    <w:abstractNumId w:val="3"/>
  </w:num>
  <w:num w:numId="43">
    <w:abstractNumId w:val="17"/>
  </w:num>
  <w:num w:numId="44">
    <w:abstractNumId w:val="14"/>
  </w:num>
  <w:num w:numId="45">
    <w:abstractNumId w:val="43"/>
  </w:num>
  <w:num w:numId="46">
    <w:abstractNumId w:val="9"/>
  </w:num>
  <w:num w:numId="47">
    <w:abstractNumId w:val="10"/>
  </w:num>
  <w:num w:numId="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C9DB3-D2E7-478F-A1F2-8B450F81E3E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346</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cp:revision>
  <cp:lastPrinted>2010-01-07T02:23:00Z</cp:lastPrinted>
  <dcterms:created xsi:type="dcterms:W3CDTF">2023-09-11T12:29:00Z</dcterms:created>
  <dcterms:modified xsi:type="dcterms:W3CDTF">2023-09-27T13:01:00Z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(3)sSQwqzQZ7q6ZNJAbZg0YcXH0ePiRGg7oUFqQwP3WLUKfqOL5mEKnCjF/xWmNDacYi6KXzQKj
eANPMqgwmo2OJ/7AZ8DNmWprUwpWrnYyk6baqDdVtCINDEI9i8uo1PQ4hdX9rYN5izceTfN0
uLG0V0Cs7qMAsUnyyeSr7z4CkM8Nde5Af7uFFaZaNdP8fwN5J2/oQV0EmK//knezbg2nIrbc
KdtDlCM0FeAiQyLlMR</vt:lpwstr>
  </property>
  <property fmtid="{D5CDD505-2E9C-101B-9397-08002B2CF9AE}" pid="15" name="_2015_ms_pID_725343_00">
    <vt:lpwstr>_2015_ms_pID_725343</vt:lpwstr>
  </property>
  <property fmtid="{D5CDD505-2E9C-101B-9397-08002B2CF9AE}" pid="16" name="_2015_ms_pID_7253431">
    <vt:lpwstr>O/gbSU2ZaeB3nzO0XfnPMlbYQ/qFcQpkSBnk7aCd/4X6pB6wuWfZDJ
9VR9oqneResPgQaB+0MgzzrJt2f111NnNVuhhw/raEA/y2/obhpKIITDAgRWotlN4Kq/2vKv
RMqVZAt/qBbaeJ9FXQxUE5dTkZo8o18vRGRIj/sO7BPSCslEY/cxGhtfV9Pg1O54XVk52d2J
0hLxWA7edgMMVP6P19aLzzvT0jpK+pm7HpwC</vt:lpwstr>
  </property>
  <property fmtid="{D5CDD505-2E9C-101B-9397-08002B2CF9AE}" pid="17" name="_2015_ms_pID_7253431_00">
    <vt:lpwstr>_2015_ms_pID_7253431</vt:lpwstr>
  </property>
  <property fmtid="{D5CDD505-2E9C-101B-9397-08002B2CF9AE}" pid="18" name="_2015_ms_pID_7253432">
    <vt:lpwstr>vw==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